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《四川省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金融发展研究中心</w:t>
      </w:r>
      <w:r>
        <w:rPr>
          <w:rFonts w:hint="eastAsia" w:ascii="黑体" w:hAnsi="黑体" w:eastAsia="黑体" w:cs="黑体"/>
          <w:sz w:val="28"/>
          <w:szCs w:val="28"/>
        </w:rPr>
        <w:t>2022年5月公开招聘工作人员岗位和条件要求一览表》</w:t>
      </w:r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610"/>
        <w:gridCol w:w="1120"/>
        <w:gridCol w:w="1087"/>
        <w:gridCol w:w="568"/>
        <w:gridCol w:w="847"/>
        <w:gridCol w:w="921"/>
        <w:gridCol w:w="2658"/>
        <w:gridCol w:w="514"/>
        <w:gridCol w:w="718"/>
        <w:gridCol w:w="718"/>
        <w:gridCol w:w="771"/>
        <w:gridCol w:w="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开考比例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四川省金融发展研究中心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  <w:lang w:eastAsia="zh-CN"/>
              </w:rPr>
              <w:t>专业技术岗位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  <w:u w:val="none"/>
                <w:lang w:eastAsia="zh-CN"/>
              </w:rPr>
              <w:t>研究实习员一级岗位及以下（十一级及以下）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57010001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val="en-US" w:eastAsia="zh-CN"/>
              </w:rPr>
              <w:t>1981年1月1日及以后出生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  <w:lang w:eastAsia="zh-CN"/>
              </w:rPr>
              <w:t>研究生及以上学历且硕士及以上学位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国民经济学专业（020201）、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区域经济学专业（020202）、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产业经济学专业（020205）、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财政学专业（020203）、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金融学专业（020204）、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民商法学专业（030105）、</w:t>
            </w:r>
          </w:p>
          <w:p>
            <w:pPr>
              <w:jc w:val="left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经济法学专业（030107）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default"/>
                <w:lang w:val="en" w:eastAsia="zh-CN"/>
              </w:rPr>
              <w:t>: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综合知识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dstrike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</w:t>
      </w: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>名称，应与拟报考岗位的“学历”和“专业条件要求”两栏分别相符。</w:t>
      </w:r>
    </w:p>
    <w:p/>
    <w:sectPr>
      <w:pgSz w:w="14572" w:h="10319" w:orient="landscape"/>
      <w:pgMar w:top="1588" w:right="1361" w:bottom="1418" w:left="1361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3C8E"/>
    <w:rsid w:val="7F7F4CA2"/>
    <w:rsid w:val="F7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2022-04-13T14:29:00Z</dcterms:created>
  <dc:creator>user</dc:creator>
  <cp:lastModifiedBy>user</cp:lastModifiedBy>
  <dcterms:modified xsi:type="dcterms:W3CDTF">2022-04-13T14:30:38Z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